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B8ED" w14:textId="6ACB0B46" w:rsidR="00B84CF6" w:rsidRPr="00B84CF6" w:rsidRDefault="00B84CF6" w:rsidP="00B84CF6">
      <w:pPr>
        <w:pStyle w:val="xelementtoproof"/>
        <w:shd w:val="clear" w:color="auto" w:fill="FFFFFF"/>
        <w:spacing w:before="0" w:beforeAutospacing="0" w:after="0" w:afterAutospacing="0"/>
        <w:jc w:val="center"/>
        <w:rPr>
          <w:rFonts w:ascii="Aptos" w:hAnsi="Aptos" w:cs="Segoe UI"/>
          <w:b/>
          <w:bCs/>
          <w:color w:val="000000"/>
          <w:sz w:val="40"/>
          <w:szCs w:val="40"/>
          <w:bdr w:val="none" w:sz="0" w:space="0" w:color="auto" w:frame="1"/>
        </w:rPr>
      </w:pPr>
      <w:r w:rsidRPr="00B84CF6">
        <w:rPr>
          <w:rFonts w:ascii="Aptos" w:hAnsi="Aptos" w:cs="Segoe UI"/>
          <w:b/>
          <w:bCs/>
          <w:color w:val="000000"/>
          <w:sz w:val="40"/>
          <w:szCs w:val="40"/>
          <w:bdr w:val="none" w:sz="0" w:space="0" w:color="auto" w:frame="1"/>
        </w:rPr>
        <w:t>Selecting Directors</w:t>
      </w:r>
      <w:r>
        <w:rPr>
          <w:rFonts w:ascii="Aptos" w:hAnsi="Aptos" w:cs="Segoe UI"/>
          <w:b/>
          <w:bCs/>
          <w:color w:val="000000"/>
          <w:sz w:val="40"/>
          <w:szCs w:val="40"/>
          <w:bdr w:val="none" w:sz="0" w:space="0" w:color="auto" w:frame="1"/>
        </w:rPr>
        <w:t xml:space="preserve"> – The Process</w:t>
      </w:r>
    </w:p>
    <w:p w14:paraId="1D3E982B" w14:textId="77777777" w:rsidR="00B84CF6" w:rsidRPr="00B84CF6" w:rsidRDefault="00B84CF6" w:rsidP="00B84CF6">
      <w:pPr>
        <w:pStyle w:val="xelementtoproof"/>
        <w:shd w:val="clear" w:color="auto" w:fill="FFFFFF"/>
        <w:spacing w:before="0" w:beforeAutospacing="0" w:after="0" w:afterAutospacing="0"/>
        <w:rPr>
          <w:rFonts w:ascii="Aptos" w:hAnsi="Aptos" w:cs="Segoe UI"/>
          <w:color w:val="000000"/>
          <w:bdr w:val="none" w:sz="0" w:space="0" w:color="auto" w:frame="1"/>
        </w:rPr>
      </w:pPr>
    </w:p>
    <w:p w14:paraId="7071CC17" w14:textId="22DD7F19" w:rsidR="00B84CF6" w:rsidRPr="00B84CF6" w:rsidRDefault="00B84CF6" w:rsidP="00B84CF6">
      <w:pPr>
        <w:pStyle w:val="xelementtoproof"/>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By following a thorough and transparent process, MusicNL aims to assemble a board of directors that reflects the diverse skill sets needed for effective governance, strategic decision-making, and sustained success. </w:t>
      </w:r>
    </w:p>
    <w:p w14:paraId="58AF8B69"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61841B20"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Skills Matrix: </w:t>
      </w:r>
      <w:r w:rsidRPr="00B84CF6">
        <w:rPr>
          <w:rFonts w:ascii="Aptos" w:hAnsi="Aptos" w:cs="Segoe UI"/>
          <w:color w:val="000000"/>
          <w:bdr w:val="none" w:sz="0" w:space="0" w:color="auto" w:frame="1"/>
        </w:rPr>
        <w:t>We begin by establishing a comprehensive skills matrix that outlines the key competencies and expertise required for effective board governance. This matrix encompasses areas such as financial acumen, legal proficiency, industry knowledge, strategic planning, marketing, and community engagement.</w:t>
      </w:r>
      <w:r w:rsidRPr="00B84CF6">
        <w:rPr>
          <w:rFonts w:ascii="Aptos" w:hAnsi="Aptos" w:cs="Segoe UI"/>
          <w:b/>
          <w:bCs/>
          <w:color w:val="000000"/>
          <w:bdr w:val="none" w:sz="0" w:space="0" w:color="auto" w:frame="1"/>
        </w:rPr>
        <w:t> </w:t>
      </w:r>
    </w:p>
    <w:p w14:paraId="24118E9E"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5098FDC4"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Identifying Gaps: </w:t>
      </w:r>
      <w:r w:rsidRPr="00B84CF6">
        <w:rPr>
          <w:rFonts w:ascii="Aptos" w:hAnsi="Aptos" w:cs="Segoe UI"/>
          <w:color w:val="000000"/>
          <w:bdr w:val="none" w:sz="0" w:space="0" w:color="auto" w:frame="1"/>
        </w:rPr>
        <w:t>Using the skills matrix as a guide, we assess the current composition of our board to identify any existing gaps in expertise or experience. This gap analysis helps us pinpoint the specific skills or perspectives needed to enhance the board's overall effectiveness.</w:t>
      </w:r>
      <w:r w:rsidRPr="00B84CF6">
        <w:rPr>
          <w:rFonts w:ascii="Aptos" w:hAnsi="Aptos" w:cs="Segoe UI"/>
          <w:b/>
          <w:bCs/>
          <w:color w:val="000000"/>
          <w:bdr w:val="none" w:sz="0" w:space="0" w:color="auto" w:frame="1"/>
        </w:rPr>
        <w:t> </w:t>
      </w:r>
    </w:p>
    <w:p w14:paraId="184C3527"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3E9FD0B1"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Candidate Search: </w:t>
      </w:r>
      <w:r w:rsidRPr="00B84CF6">
        <w:rPr>
          <w:rFonts w:ascii="Aptos" w:hAnsi="Aptos" w:cs="Segoe UI"/>
          <w:color w:val="000000"/>
          <w:bdr w:val="none" w:sz="0" w:space="0" w:color="auto" w:frame="1"/>
        </w:rPr>
        <w:t>We conduct a search (all year) to identify potential directors who possess the skills and attributes outlined in the matrix. This search may involve outreach to industry networks, partnerships with relevant organizations, and promotion through our communication channels. Members can express their interest to a director or CEO.</w:t>
      </w:r>
      <w:r w:rsidRPr="00B84CF6">
        <w:rPr>
          <w:rFonts w:ascii="Aptos" w:hAnsi="Aptos" w:cs="Segoe UI"/>
          <w:b/>
          <w:bCs/>
          <w:color w:val="000000"/>
          <w:bdr w:val="none" w:sz="0" w:space="0" w:color="auto" w:frame="1"/>
        </w:rPr>
        <w:t> </w:t>
      </w:r>
    </w:p>
    <w:p w14:paraId="1415E0A2"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26576186"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Meeting with Potential Directors: </w:t>
      </w:r>
      <w:r w:rsidRPr="00B84CF6">
        <w:rPr>
          <w:rFonts w:ascii="Aptos" w:hAnsi="Aptos" w:cs="Segoe UI"/>
          <w:color w:val="000000"/>
          <w:bdr w:val="none" w:sz="0" w:space="0" w:color="auto" w:frame="1"/>
        </w:rPr>
        <w:t>Candidates are invited to meet with our selection committee to discuss their background, experiences, and alignment with MusicNL's mission and values.</w:t>
      </w:r>
      <w:r w:rsidRPr="00B84CF6">
        <w:rPr>
          <w:rFonts w:ascii="Aptos" w:hAnsi="Aptos" w:cs="Segoe UI"/>
          <w:b/>
          <w:bCs/>
          <w:color w:val="000000"/>
          <w:bdr w:val="none" w:sz="0" w:space="0" w:color="auto" w:frame="1"/>
        </w:rPr>
        <w:t> </w:t>
      </w:r>
      <w:r w:rsidRPr="00B84CF6">
        <w:rPr>
          <w:rFonts w:ascii="Aptos" w:hAnsi="Aptos" w:cs="Segoe UI"/>
          <w:color w:val="000000"/>
          <w:bdr w:val="none" w:sz="0" w:space="0" w:color="auto" w:frame="1"/>
        </w:rPr>
        <w:t>During these meetings, we explore how candidates can contribute to filling identified gaps and bringing valuable insights to the board.</w:t>
      </w:r>
      <w:r w:rsidRPr="00B84CF6">
        <w:rPr>
          <w:rFonts w:ascii="Aptos" w:hAnsi="Aptos" w:cs="Segoe UI"/>
          <w:b/>
          <w:bCs/>
          <w:color w:val="000000"/>
          <w:bdr w:val="none" w:sz="0" w:space="0" w:color="auto" w:frame="1"/>
        </w:rPr>
        <w:t> </w:t>
      </w:r>
    </w:p>
    <w:p w14:paraId="01450DC7"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512E3254"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Fit Assessment: </w:t>
      </w:r>
      <w:r w:rsidRPr="00B84CF6">
        <w:rPr>
          <w:rFonts w:ascii="Aptos" w:hAnsi="Aptos" w:cs="Segoe UI"/>
          <w:color w:val="000000"/>
          <w:bdr w:val="none" w:sz="0" w:space="0" w:color="auto" w:frame="1"/>
        </w:rPr>
        <w:t>We assess each candidate's overall fit with the existing board, considering factors such as communication style, collaboration potential, and commitment to the organization.</w:t>
      </w:r>
      <w:r w:rsidRPr="00B84CF6">
        <w:rPr>
          <w:rFonts w:ascii="Aptos" w:hAnsi="Aptos" w:cs="Segoe UI"/>
          <w:b/>
          <w:bCs/>
          <w:color w:val="000000"/>
          <w:bdr w:val="none" w:sz="0" w:space="0" w:color="auto" w:frame="1"/>
        </w:rPr>
        <w:t> </w:t>
      </w:r>
      <w:r w:rsidRPr="00B84CF6">
        <w:rPr>
          <w:rFonts w:ascii="Aptos" w:hAnsi="Aptos" w:cs="Segoe UI"/>
          <w:color w:val="000000"/>
          <w:bdr w:val="none" w:sz="0" w:space="0" w:color="auto" w:frame="1"/>
        </w:rPr>
        <w:t>This step ensures a cohesive and effective board dynamic.</w:t>
      </w:r>
      <w:r w:rsidRPr="00B84CF6">
        <w:rPr>
          <w:rFonts w:ascii="Aptos" w:hAnsi="Aptos" w:cs="Segoe UI"/>
          <w:b/>
          <w:bCs/>
          <w:color w:val="000000"/>
          <w:bdr w:val="none" w:sz="0" w:space="0" w:color="auto" w:frame="1"/>
        </w:rPr>
        <w:t> </w:t>
      </w:r>
    </w:p>
    <w:p w14:paraId="744DB2B4" w14:textId="77777777" w:rsidR="00B84CF6" w:rsidRPr="00B84CF6" w:rsidRDefault="00B84CF6" w:rsidP="00B84CF6">
      <w:pPr>
        <w:pStyle w:val="NormalWeb"/>
        <w:shd w:val="clear" w:color="auto" w:fill="FFFFFF"/>
        <w:spacing w:before="0" w:beforeAutospacing="0" w:after="0" w:afterAutospacing="0"/>
        <w:rPr>
          <w:rFonts w:ascii="Segoe UI" w:hAnsi="Segoe UI" w:cs="Segoe UI"/>
          <w:color w:val="242424"/>
        </w:rPr>
      </w:pPr>
      <w:r w:rsidRPr="00B84CF6">
        <w:rPr>
          <w:rFonts w:ascii="Aptos" w:hAnsi="Aptos" w:cs="Segoe UI"/>
          <w:color w:val="000000"/>
          <w:bdr w:val="none" w:sz="0" w:space="0" w:color="auto" w:frame="1"/>
        </w:rPr>
        <w:t> </w:t>
      </w:r>
    </w:p>
    <w:p w14:paraId="63CDA829" w14:textId="77777777" w:rsidR="00B84CF6" w:rsidRPr="00B84CF6" w:rsidRDefault="00B84CF6" w:rsidP="00B84CF6">
      <w:pPr>
        <w:pStyle w:val="xelementtoproof"/>
        <w:shd w:val="clear" w:color="auto" w:fill="FFFFFF"/>
        <w:spacing w:before="0" w:beforeAutospacing="0" w:after="0" w:afterAutospacing="0"/>
        <w:rPr>
          <w:rFonts w:ascii="Segoe UI" w:hAnsi="Segoe UI" w:cs="Segoe UI"/>
          <w:color w:val="242424"/>
        </w:rPr>
      </w:pPr>
      <w:r w:rsidRPr="00B84CF6">
        <w:rPr>
          <w:rFonts w:ascii="Aptos" w:hAnsi="Aptos" w:cs="Segoe UI"/>
          <w:b/>
          <w:bCs/>
          <w:color w:val="000000"/>
          <w:bdr w:val="none" w:sz="0" w:space="0" w:color="auto" w:frame="1"/>
        </w:rPr>
        <w:t>Election Slate Approval: </w:t>
      </w:r>
      <w:r w:rsidRPr="00B84CF6">
        <w:rPr>
          <w:rFonts w:ascii="Aptos" w:hAnsi="Aptos" w:cs="Segoe UI"/>
          <w:color w:val="000000"/>
          <w:bdr w:val="none" w:sz="0" w:space="0" w:color="auto" w:frame="1"/>
        </w:rPr>
        <w:t>Following the Governance committee's evaluation, recommendations are presented to the board for approval and then shared and elected by the membership at the AGM. The final decision is made with the organization's best interests in mind, aiming for a well-rounded board that can successfully guide MusicNL.</w:t>
      </w:r>
      <w:r w:rsidRPr="00B84CF6">
        <w:rPr>
          <w:rFonts w:ascii="Aptos" w:hAnsi="Aptos" w:cs="Segoe UI"/>
          <w:b/>
          <w:bCs/>
          <w:color w:val="000000"/>
          <w:bdr w:val="none" w:sz="0" w:space="0" w:color="auto" w:frame="1"/>
        </w:rPr>
        <w:t> </w:t>
      </w:r>
    </w:p>
    <w:p w14:paraId="00F8ABF1" w14:textId="77777777" w:rsidR="003323DA" w:rsidRDefault="003323DA"/>
    <w:sectPr w:rsidR="003323DA" w:rsidSect="00A62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6"/>
    <w:rsid w:val="00127B01"/>
    <w:rsid w:val="001A2CA4"/>
    <w:rsid w:val="003323DA"/>
    <w:rsid w:val="00460649"/>
    <w:rsid w:val="00A626FB"/>
    <w:rsid w:val="00B84CF6"/>
    <w:rsid w:val="00D150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8031DD"/>
  <w15:chartTrackingRefBased/>
  <w15:docId w15:val="{86AFB142-0300-3041-A25B-D8CEFBC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F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4CF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4CF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4CF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4CF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4CF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4CF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4CF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4CF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F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4CF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4CF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4CF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4CF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4C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4C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4C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4CF6"/>
    <w:rPr>
      <w:rFonts w:eastAsiaTheme="majorEastAsia" w:cstheme="majorBidi"/>
      <w:color w:val="272727" w:themeColor="text1" w:themeTint="D8"/>
    </w:rPr>
  </w:style>
  <w:style w:type="paragraph" w:styleId="Title">
    <w:name w:val="Title"/>
    <w:basedOn w:val="Normal"/>
    <w:next w:val="Normal"/>
    <w:link w:val="TitleChar"/>
    <w:uiPriority w:val="10"/>
    <w:qFormat/>
    <w:rsid w:val="00B84CF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C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4C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4C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4C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4CF6"/>
    <w:rPr>
      <w:i/>
      <w:iCs/>
      <w:color w:val="404040" w:themeColor="text1" w:themeTint="BF"/>
    </w:rPr>
  </w:style>
  <w:style w:type="paragraph" w:styleId="ListParagraph">
    <w:name w:val="List Paragraph"/>
    <w:basedOn w:val="Normal"/>
    <w:uiPriority w:val="34"/>
    <w:qFormat/>
    <w:rsid w:val="00B84CF6"/>
    <w:pPr>
      <w:ind w:left="720"/>
      <w:contextualSpacing/>
    </w:pPr>
  </w:style>
  <w:style w:type="character" w:styleId="IntenseEmphasis">
    <w:name w:val="Intense Emphasis"/>
    <w:basedOn w:val="DefaultParagraphFont"/>
    <w:uiPriority w:val="21"/>
    <w:qFormat/>
    <w:rsid w:val="00B84CF6"/>
    <w:rPr>
      <w:i/>
      <w:iCs/>
      <w:color w:val="0F4761" w:themeColor="accent1" w:themeShade="BF"/>
    </w:rPr>
  </w:style>
  <w:style w:type="paragraph" w:styleId="IntenseQuote">
    <w:name w:val="Intense Quote"/>
    <w:basedOn w:val="Normal"/>
    <w:next w:val="Normal"/>
    <w:link w:val="IntenseQuoteChar"/>
    <w:uiPriority w:val="30"/>
    <w:qFormat/>
    <w:rsid w:val="00B84CF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4CF6"/>
    <w:rPr>
      <w:i/>
      <w:iCs/>
      <w:color w:val="0F4761" w:themeColor="accent1" w:themeShade="BF"/>
    </w:rPr>
  </w:style>
  <w:style w:type="character" w:styleId="IntenseReference">
    <w:name w:val="Intense Reference"/>
    <w:basedOn w:val="DefaultParagraphFont"/>
    <w:uiPriority w:val="32"/>
    <w:qFormat/>
    <w:rsid w:val="00B84CF6"/>
    <w:rPr>
      <w:b/>
      <w:bCs/>
      <w:smallCaps/>
      <w:color w:val="0F4761" w:themeColor="accent1" w:themeShade="BF"/>
      <w:spacing w:val="5"/>
    </w:rPr>
  </w:style>
  <w:style w:type="paragraph" w:customStyle="1" w:styleId="xelementtoproof">
    <w:name w:val="x_elementtoproof"/>
    <w:basedOn w:val="Normal"/>
    <w:rsid w:val="00B84CF6"/>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B84CF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Tulk-Lane</dc:creator>
  <cp:keywords/>
  <dc:description/>
  <cp:lastModifiedBy>Rhonda Tulk-Lane</cp:lastModifiedBy>
  <cp:revision>1</cp:revision>
  <dcterms:created xsi:type="dcterms:W3CDTF">2024-01-11T12:45:00Z</dcterms:created>
  <dcterms:modified xsi:type="dcterms:W3CDTF">2024-01-11T12:46:00Z</dcterms:modified>
</cp:coreProperties>
</file>